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2020年福建第二轻工业学校公开招聘工作人员岗位</w:t>
      </w:r>
      <w:bookmarkStart w:id="0" w:name="_GoBack"/>
      <w:bookmarkEnd w:id="0"/>
      <w:r>
        <w:rPr>
          <w:rFonts w:hint="eastAsia" w:ascii="方正小标宋_GBK" w:hAnsi="方正小标宋_GBK" w:eastAsia="方正小标宋_GBK" w:cs="方正小标宋_GBK"/>
          <w:b/>
          <w:sz w:val="32"/>
          <w:szCs w:val="32"/>
        </w:rPr>
        <w:t>信息表</w:t>
      </w:r>
    </w:p>
    <w:tbl>
      <w:tblPr>
        <w:tblStyle w:val="4"/>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9"/>
        <w:gridCol w:w="2268"/>
        <w:gridCol w:w="850"/>
        <w:gridCol w:w="184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709"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序号</w:t>
            </w:r>
          </w:p>
        </w:tc>
        <w:tc>
          <w:tcPr>
            <w:tcW w:w="1134"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招聘</w:t>
            </w:r>
          </w:p>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岗位</w:t>
            </w:r>
          </w:p>
        </w:tc>
        <w:tc>
          <w:tcPr>
            <w:tcW w:w="709"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招聘人数</w:t>
            </w:r>
          </w:p>
        </w:tc>
        <w:tc>
          <w:tcPr>
            <w:tcW w:w="2268"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专业要求</w:t>
            </w:r>
          </w:p>
        </w:tc>
        <w:tc>
          <w:tcPr>
            <w:tcW w:w="850"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学历学位</w:t>
            </w:r>
          </w:p>
        </w:tc>
        <w:tc>
          <w:tcPr>
            <w:tcW w:w="1843"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其他</w:t>
            </w:r>
          </w:p>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要求</w:t>
            </w:r>
          </w:p>
        </w:tc>
        <w:tc>
          <w:tcPr>
            <w:tcW w:w="1275" w:type="dxa"/>
            <w:vAlign w:val="center"/>
          </w:tcPr>
          <w:p>
            <w:pPr>
              <w:widowControl/>
              <w:jc w:val="center"/>
              <w:rPr>
                <w:rFonts w:hint="default" w:ascii="Times New Roman" w:hAnsi="Times New Roman" w:cs="Times New Roman" w:eastAsiaTheme="majorEastAsia"/>
                <w:kern w:val="0"/>
                <w:sz w:val="24"/>
                <w:szCs w:val="24"/>
              </w:rPr>
            </w:pPr>
            <w:r>
              <w:rPr>
                <w:rFonts w:hint="default" w:ascii="Times New Roman" w:hAnsi="Times New Roman" w:cs="Times New Roman" w:eastAsiaTheme="majorEastAsia"/>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shd w:val="clear" w:color="auto" w:fill="FFFFFF"/>
              </w:rPr>
              <w:t>数学专任教师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c>
          <w:tcPr>
            <w:tcW w:w="2268"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kern w:val="0"/>
                <w:szCs w:val="21"/>
              </w:rPr>
              <w:t>数学教育、学科教学（数学）、基础数学、计算数学、概率论与数理统计、应用数学、运筹学与控制论、数学与应用数学、信息与计算科学</w:t>
            </w:r>
          </w:p>
        </w:tc>
        <w:tc>
          <w:tcPr>
            <w:tcW w:w="850" w:type="dxa"/>
            <w:vMerge w:val="restart"/>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shd w:val="clear" w:color="auto" w:fill="FFFFFF"/>
              </w:rPr>
              <w:t>全日制普通高等院校本科及以上学历</w:t>
            </w:r>
            <w:r>
              <w:rPr>
                <w:rFonts w:hint="default" w:ascii="Times New Roman" w:hAnsi="Times New Roman" w:cs="Times New Roman" w:eastAsiaTheme="majorEastAsia"/>
                <w:szCs w:val="21"/>
                <w:shd w:val="clear" w:color="auto" w:fill="FFFFFF"/>
                <w:lang w:eastAsia="zh-CN"/>
              </w:rPr>
              <w:t>、</w:t>
            </w:r>
            <w:r>
              <w:rPr>
                <w:rFonts w:hint="default" w:ascii="Times New Roman" w:hAnsi="Times New Roman" w:cs="Times New Roman" w:eastAsiaTheme="majorEastAsia"/>
                <w:szCs w:val="21"/>
                <w:shd w:val="clear" w:color="auto" w:fill="FFFFFF"/>
              </w:rPr>
              <w:t>硕士及以上学位</w:t>
            </w:r>
          </w:p>
        </w:tc>
        <w:tc>
          <w:tcPr>
            <w:tcW w:w="1843" w:type="dxa"/>
            <w:vMerge w:val="restart"/>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shd w:val="clear" w:color="auto" w:fill="FFFFFF"/>
              </w:rPr>
              <w:t>本科及以上学历所学专业或硕士及以上学位所学专业与岗位要求的专业相符均可</w:t>
            </w:r>
          </w:p>
        </w:tc>
        <w:tc>
          <w:tcPr>
            <w:tcW w:w="1275" w:type="dxa"/>
            <w:vAlign w:val="center"/>
          </w:tcPr>
          <w:p>
            <w:pPr>
              <w:overflowPunct w:val="0"/>
              <w:autoSpaceDE w:val="0"/>
              <w:autoSpaceDN w:val="0"/>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shd w:val="clear" w:color="auto" w:fill="FFFFFF"/>
              </w:rPr>
              <w:t>体育专任教师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kern w:val="0"/>
                <w:szCs w:val="21"/>
              </w:rPr>
              <w:t>体育教育、学科教学（体育）、体育人文社会学、运动人体科学、体育教育训练学、民族传统体育学、运动训练、社会体育、社会体育指导与管理、民族传统体育、武术与民族传统体育、体育教学</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p>
        </w:tc>
        <w:tc>
          <w:tcPr>
            <w:tcW w:w="1843" w:type="dxa"/>
            <w:vMerge w:val="continue"/>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p>
        </w:tc>
        <w:tc>
          <w:tcPr>
            <w:tcW w:w="1275" w:type="dxa"/>
            <w:vAlign w:val="center"/>
          </w:tcPr>
          <w:p>
            <w:pPr>
              <w:overflowPunct w:val="0"/>
              <w:autoSpaceDE w:val="0"/>
              <w:autoSpaceDN w:val="0"/>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c>
          <w:tcPr>
            <w:tcW w:w="1134" w:type="dxa"/>
            <w:vAlign w:val="center"/>
          </w:tcPr>
          <w:p>
            <w:pPr>
              <w:widowControl/>
              <w:jc w:val="center"/>
              <w:rPr>
                <w:rFonts w:hint="default" w:ascii="Times New Roman" w:hAnsi="Times New Roman" w:cs="Times New Roman" w:eastAsiaTheme="majorEastAsia"/>
                <w:kern w:val="0"/>
                <w:szCs w:val="21"/>
              </w:rPr>
            </w:pPr>
            <w:r>
              <w:rPr>
                <w:rFonts w:hint="default" w:ascii="Times New Roman" w:hAnsi="Times New Roman" w:cs="Times New Roman" w:eastAsiaTheme="majorEastAsia"/>
                <w:kern w:val="0"/>
                <w:szCs w:val="21"/>
              </w:rPr>
              <w:t>美发与形象设计</w:t>
            </w:r>
          </w:p>
          <w:p>
            <w:pPr>
              <w:widowControl/>
              <w:jc w:val="center"/>
              <w:rPr>
                <w:rFonts w:hint="default" w:ascii="Times New Roman" w:hAnsi="Times New Roman" w:cs="Times New Roman" w:eastAsiaTheme="majorEastAsia"/>
                <w:kern w:val="0"/>
                <w:szCs w:val="21"/>
              </w:rPr>
            </w:pPr>
            <w:r>
              <w:rPr>
                <w:rFonts w:hint="default" w:ascii="Times New Roman" w:hAnsi="Times New Roman" w:cs="Times New Roman" w:eastAsiaTheme="majorEastAsia"/>
                <w:kern w:val="0"/>
                <w:szCs w:val="21"/>
              </w:rPr>
              <w:t>专任教师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widowControl/>
              <w:jc w:val="center"/>
              <w:rPr>
                <w:rFonts w:hint="default" w:ascii="Times New Roman" w:hAnsi="Times New Roman" w:cs="Times New Roman" w:eastAsiaTheme="majorEastAsia"/>
                <w:color w:val="000000" w:themeColor="text1"/>
                <w:kern w:val="0"/>
                <w:szCs w:val="21"/>
                <w14:textFill>
                  <w14:solidFill>
                    <w14:schemeClr w14:val="tx1"/>
                  </w14:solidFill>
                </w14:textFill>
              </w:rPr>
            </w:pPr>
            <w:r>
              <w:rPr>
                <w:rFonts w:hint="default" w:ascii="Times New Roman" w:hAnsi="Times New Roman" w:cs="Times New Roman" w:eastAsiaTheme="majorEastAsia"/>
                <w:color w:val="000000" w:themeColor="text1"/>
                <w:kern w:val="0"/>
                <w:szCs w:val="21"/>
                <w14:textFill>
                  <w14:solidFill>
                    <w14:schemeClr w14:val="tx1"/>
                  </w14:solidFill>
                </w14:textFill>
              </w:rPr>
              <w:t>戏剧影视美术设计、人物形象设计、模特与礼仪</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843"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4</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心理</w:t>
            </w:r>
          </w:p>
          <w:p>
            <w:pPr>
              <w:widowControl/>
              <w:jc w:val="center"/>
              <w:rPr>
                <w:rFonts w:hint="default" w:ascii="Times New Roman" w:hAnsi="Times New Roman" w:cs="Times New Roman" w:eastAsiaTheme="majorEastAsia"/>
                <w:kern w:val="0"/>
                <w:szCs w:val="21"/>
              </w:rPr>
            </w:pPr>
            <w:r>
              <w:rPr>
                <w:rFonts w:hint="default" w:ascii="Times New Roman" w:hAnsi="Times New Roman" w:cs="Times New Roman" w:eastAsiaTheme="majorEastAsia"/>
                <w:szCs w:val="21"/>
                <w:shd w:val="clear" w:color="auto" w:fill="FFFFFF"/>
              </w:rPr>
              <w:t>辅导教师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2268" w:type="dxa"/>
            <w:vAlign w:val="center"/>
          </w:tcPr>
          <w:p>
            <w:pPr>
              <w:widowControl/>
              <w:jc w:val="center"/>
              <w:rPr>
                <w:rFonts w:hint="default" w:ascii="Times New Roman" w:hAnsi="Times New Roman" w:cs="Times New Roman" w:eastAsiaTheme="majorEastAsia"/>
                <w:color w:val="000000" w:themeColor="text1"/>
                <w:kern w:val="0"/>
                <w:szCs w:val="21"/>
                <w14:textFill>
                  <w14:solidFill>
                    <w14:schemeClr w14:val="tx1"/>
                  </w14:solidFill>
                </w14:textFill>
              </w:rPr>
            </w:pPr>
            <w:r>
              <w:rPr>
                <w:rFonts w:hint="default" w:ascii="Times New Roman" w:hAnsi="Times New Roman" w:cs="Times New Roman" w:eastAsiaTheme="majorEastAsia"/>
                <w:color w:val="000000" w:themeColor="text1"/>
                <w:kern w:val="0"/>
                <w:szCs w:val="21"/>
                <w14:textFill>
                  <w14:solidFill>
                    <w14:schemeClr w14:val="tx1"/>
                  </w14:solidFill>
                </w14:textFill>
              </w:rPr>
              <w:t>心理学、基础心理学、发展与教育心理学、应用心理学、心理健康教育</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843"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该岗位需要坐班</w:t>
            </w:r>
            <w:r>
              <w:rPr>
                <w:rFonts w:hint="default" w:ascii="Times New Roman" w:hAnsi="Times New Roman" w:cs="Times New Roman" w:eastAsiaTheme="majorEastAsia"/>
                <w:color w:val="000000" w:themeColor="text1"/>
                <w:szCs w:val="21"/>
                <w14:textFill>
                  <w14:solidFill>
                    <w14:schemeClr w14:val="tx1"/>
                  </w14:solidFill>
                </w14:textFill>
              </w:rPr>
              <w:t>，执行管理人员出勤制度，从事师生心理咨询、辅导等工作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5</w:t>
            </w:r>
          </w:p>
        </w:tc>
        <w:tc>
          <w:tcPr>
            <w:tcW w:w="1134" w:type="dxa"/>
            <w:vAlign w:val="center"/>
          </w:tcPr>
          <w:p>
            <w:pPr>
              <w:widowControl/>
              <w:jc w:val="center"/>
              <w:rPr>
                <w:rFonts w:hint="default" w:ascii="Times New Roman" w:hAnsi="Times New Roman" w:cs="Times New Roman" w:eastAsiaTheme="majorEastAsia"/>
                <w:kern w:val="0"/>
                <w:szCs w:val="21"/>
              </w:rPr>
            </w:pPr>
            <w:r>
              <w:rPr>
                <w:rFonts w:hint="default" w:ascii="Times New Roman" w:hAnsi="Times New Roman" w:cs="Times New Roman" w:eastAsiaTheme="majorEastAsia"/>
                <w:szCs w:val="21"/>
              </w:rPr>
              <w:t>中餐烹饪专任教师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widowControl/>
              <w:jc w:val="center"/>
              <w:rPr>
                <w:rFonts w:hint="default" w:ascii="Times New Roman" w:hAnsi="Times New Roman" w:cs="Times New Roman" w:eastAsiaTheme="majorEastAsia"/>
                <w:color w:val="000000" w:themeColor="text1"/>
                <w:kern w:val="0"/>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烹饪与营养教育、烹饪工艺与营养、西餐工艺、中西面点工艺</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843"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6</w:t>
            </w:r>
          </w:p>
        </w:tc>
        <w:tc>
          <w:tcPr>
            <w:tcW w:w="1134" w:type="dxa"/>
            <w:vAlign w:val="center"/>
          </w:tcPr>
          <w:p>
            <w:pPr>
              <w:widowControl/>
              <w:jc w:val="center"/>
              <w:rPr>
                <w:rFonts w:hint="default" w:ascii="Times New Roman" w:hAnsi="Times New Roman" w:cs="Times New Roman" w:eastAsiaTheme="majorEastAsia"/>
                <w:kern w:val="0"/>
                <w:szCs w:val="21"/>
              </w:rPr>
            </w:pPr>
            <w:r>
              <w:rPr>
                <w:rFonts w:hint="default" w:ascii="Times New Roman" w:hAnsi="Times New Roman" w:cs="Times New Roman" w:eastAsiaTheme="majorEastAsia"/>
                <w:szCs w:val="21"/>
              </w:rPr>
              <w:t>中餐烹饪实习指导教师</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2268" w:type="dxa"/>
            <w:vAlign w:val="center"/>
          </w:tcPr>
          <w:p>
            <w:pPr>
              <w:widowControl/>
              <w:jc w:val="center"/>
              <w:rPr>
                <w:rFonts w:hint="default" w:ascii="Times New Roman" w:hAnsi="Times New Roman" w:cs="Times New Roman" w:eastAsiaTheme="majorEastAsia"/>
                <w:color w:val="000000" w:themeColor="text1"/>
                <w:kern w:val="0"/>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烹饪与营养教育、烹饪工艺与营养、西餐工艺、中西面点工艺</w:t>
            </w:r>
          </w:p>
        </w:tc>
        <w:tc>
          <w:tcPr>
            <w:tcW w:w="850"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kern w:val="0"/>
                <w:szCs w:val="21"/>
                <w14:textFill>
                  <w14:solidFill>
                    <w14:schemeClr w14:val="tx1"/>
                  </w14:solidFill>
                </w14:textFill>
              </w:rPr>
              <w:t>全日制普通高等院校本科及以上学历</w:t>
            </w:r>
          </w:p>
        </w:tc>
        <w:tc>
          <w:tcPr>
            <w:tcW w:w="1843"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具有专业相关非教师系列中级及以上专业技术任职资格或技师及以上职业资格</w:t>
            </w: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办公室</w:t>
            </w:r>
          </w:p>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shd w:val="clear" w:color="auto" w:fill="FFFFFF"/>
              </w:rPr>
              <w:t>文秘</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widowControl/>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语言学及应用语言学、中国现当代文学、汉语言文学（教育）、汉语（言）、应用语言学、秘书学、文秘教育、学科教学（语文）、中国语言文学（教育）、中国语言文化</w:t>
            </w:r>
          </w:p>
        </w:tc>
        <w:tc>
          <w:tcPr>
            <w:tcW w:w="850" w:type="dxa"/>
            <w:vMerge w:val="restart"/>
            <w:vAlign w:val="center"/>
          </w:tcPr>
          <w:p>
            <w:pPr>
              <w:overflowPunct w:val="0"/>
              <w:autoSpaceDE w:val="0"/>
              <w:autoSpaceDN w:val="0"/>
              <w:jc w:val="center"/>
              <w:rPr>
                <w:rFonts w:hint="default" w:ascii="Times New Roman" w:hAnsi="Times New Roman" w:cs="Times New Roman" w:eastAsiaTheme="majorEastAsia"/>
                <w:color w:val="000000" w:themeColor="text1"/>
                <w:kern w:val="0"/>
                <w:szCs w:val="21"/>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全日制普通高等院校本科及以上学历、学士及以上学位</w:t>
            </w:r>
          </w:p>
        </w:tc>
        <w:tc>
          <w:tcPr>
            <w:tcW w:w="1843"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p>
        </w:tc>
        <w:tc>
          <w:tcPr>
            <w:tcW w:w="1275" w:type="dxa"/>
            <w:vAlign w:val="center"/>
          </w:tcPr>
          <w:p>
            <w:pPr>
              <w:widowControl/>
              <w:spacing w:before="150" w:after="150"/>
              <w:jc w:val="center"/>
              <w:rPr>
                <w:rFonts w:hint="default" w:ascii="Times New Roman" w:hAnsi="Times New Roman" w:cs="Times New Roman" w:eastAsiaTheme="maj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8</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财务人员</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kern w:val="0"/>
                <w:szCs w:val="21"/>
                <w14:textFill>
                  <w14:solidFill>
                    <w14:schemeClr w14:val="tx1"/>
                  </w14:solidFill>
                </w14:textFill>
              </w:rPr>
              <w:t>会计（学）、会计（财务）电算化、审计（学）、财务会计（教育）、会计与审计、财务管理、会计硕士、国际会计</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p>
        </w:tc>
        <w:tc>
          <w:tcPr>
            <w:tcW w:w="1843"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具有1年及以上相关工作经历</w:t>
            </w: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该岗位为财务科工作人员，需要坐班，</w:t>
            </w:r>
            <w:r>
              <w:rPr>
                <w:rFonts w:hint="default" w:ascii="Times New Roman" w:hAnsi="Times New Roman" w:cs="Times New Roman" w:eastAsiaTheme="majorEastAsia"/>
                <w:color w:val="000000" w:themeColor="text1"/>
                <w:szCs w:val="21"/>
                <w14:textFill>
                  <w14:solidFill>
                    <w14:schemeClr w14:val="tx1"/>
                  </w14:solidFill>
                </w14:textFill>
              </w:rPr>
              <w:t>执行管理人员出勤制度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9</w:t>
            </w:r>
          </w:p>
        </w:tc>
        <w:tc>
          <w:tcPr>
            <w:tcW w:w="1134" w:type="dxa"/>
            <w:vAlign w:val="center"/>
          </w:tcPr>
          <w:p>
            <w:pPr>
              <w:overflowPunct w:val="0"/>
              <w:autoSpaceDE w:val="0"/>
              <w:autoSpaceDN w:val="0"/>
              <w:jc w:val="center"/>
              <w:rPr>
                <w:rFonts w:hint="eastAsia" w:ascii="Times New Roman" w:hAnsi="Times New Roman" w:cs="Times New Roman" w:eastAsiaTheme="majorEastAsia"/>
                <w:szCs w:val="21"/>
                <w:shd w:val="clear" w:color="auto" w:fill="FFFFFF"/>
                <w:lang w:eastAsia="zh-CN"/>
              </w:rPr>
            </w:pPr>
            <w:r>
              <w:rPr>
                <w:rFonts w:hint="default" w:ascii="Times New Roman" w:hAnsi="Times New Roman" w:cs="Times New Roman" w:eastAsiaTheme="majorEastAsia"/>
                <w:szCs w:val="21"/>
                <w:shd w:val="clear" w:color="auto" w:fill="FFFFFF"/>
              </w:rPr>
              <w:t>人事</w:t>
            </w:r>
            <w:r>
              <w:rPr>
                <w:rFonts w:hint="eastAsia" w:ascii="Times New Roman" w:hAnsi="Times New Roman" w:cs="Times New Roman" w:eastAsiaTheme="majorEastAsia"/>
                <w:szCs w:val="21"/>
                <w:shd w:val="clear" w:color="auto" w:fill="FFFFFF"/>
                <w:lang w:eastAsia="zh-CN"/>
              </w:rPr>
              <w:t>职员</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2268"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理学类、工学类、文学类、公共管理类</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p>
        </w:tc>
        <w:tc>
          <w:tcPr>
            <w:tcW w:w="1843"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中共党员；具有1年及以上相关工作经历</w:t>
            </w:r>
          </w:p>
        </w:tc>
        <w:tc>
          <w:tcPr>
            <w:tcW w:w="1275"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lang w:eastAsia="zh-CN"/>
                <w14:textFill>
                  <w14:solidFill>
                    <w14:schemeClr w14:val="tx1"/>
                  </w14:solidFill>
                </w14:textFill>
              </w:rPr>
              <w:t>该岗位需</w:t>
            </w: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从事</w:t>
            </w:r>
            <w:r>
              <w:rPr>
                <w:rFonts w:hint="default" w:ascii="Times New Roman" w:hAnsi="Times New Roman" w:cs="Times New Roman" w:eastAsiaTheme="majorEastAsia"/>
                <w:color w:val="000000" w:themeColor="text1"/>
                <w:szCs w:val="21"/>
                <w:shd w:val="clear" w:color="auto" w:fill="FFFFFF"/>
                <w:lang w:eastAsia="zh-CN"/>
                <w14:textFill>
                  <w14:solidFill>
                    <w14:schemeClr w14:val="tx1"/>
                  </w14:solidFill>
                </w14:textFill>
              </w:rPr>
              <w:t>人事</w:t>
            </w: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档案管理等相关工作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10</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生管教师（男）</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不限</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p>
        </w:tc>
        <w:tc>
          <w:tcPr>
            <w:tcW w:w="1843" w:type="dxa"/>
            <w:vMerge w:val="restart"/>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p>
        </w:tc>
        <w:tc>
          <w:tcPr>
            <w:tcW w:w="1275" w:type="dxa"/>
            <w:vMerge w:val="restart"/>
            <w:vAlign w:val="center"/>
          </w:tcPr>
          <w:p>
            <w:pPr>
              <w:overflowPunct w:val="0"/>
              <w:autoSpaceDE w:val="0"/>
              <w:autoSpaceDN w:val="0"/>
              <w:jc w:val="cente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pPr>
            <w:r>
              <w:rPr>
                <w:rFonts w:hint="default" w:ascii="Times New Roman" w:hAnsi="Times New Roman" w:cs="Times New Roman" w:eastAsiaTheme="majorEastAsia"/>
                <w:color w:val="000000" w:themeColor="text1"/>
                <w:szCs w:val="21"/>
                <w:shd w:val="clear" w:color="auto" w:fill="FFFFFF"/>
                <w14:textFill>
                  <w14:solidFill>
                    <w14:schemeClr w14:val="tx1"/>
                  </w14:solidFill>
                </w14:textFill>
              </w:rPr>
              <w:t>该岗位需入住学生宿舍楼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11</w:t>
            </w:r>
          </w:p>
        </w:tc>
        <w:tc>
          <w:tcPr>
            <w:tcW w:w="1134"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生管教师（女）</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2268" w:type="dxa"/>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r>
              <w:rPr>
                <w:rFonts w:hint="default" w:ascii="Times New Roman" w:hAnsi="Times New Roman" w:cs="Times New Roman" w:eastAsiaTheme="majorEastAsia"/>
                <w:szCs w:val="21"/>
                <w:shd w:val="clear" w:color="auto" w:fill="FFFFFF"/>
              </w:rPr>
              <w:t>不限</w:t>
            </w:r>
          </w:p>
        </w:tc>
        <w:tc>
          <w:tcPr>
            <w:tcW w:w="850" w:type="dxa"/>
            <w:vMerge w:val="continue"/>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p>
        </w:tc>
        <w:tc>
          <w:tcPr>
            <w:tcW w:w="1843" w:type="dxa"/>
            <w:vMerge w:val="continue"/>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p>
        </w:tc>
        <w:tc>
          <w:tcPr>
            <w:tcW w:w="1275" w:type="dxa"/>
            <w:vMerge w:val="continue"/>
            <w:vAlign w:val="center"/>
          </w:tcPr>
          <w:p>
            <w:pPr>
              <w:overflowPunct w:val="0"/>
              <w:autoSpaceDE w:val="0"/>
              <w:autoSpaceDN w:val="0"/>
              <w:jc w:val="center"/>
              <w:rPr>
                <w:rFonts w:hint="default" w:ascii="Times New Roman" w:hAnsi="Times New Roman" w:cs="Times New Roman" w:eastAsiaTheme="maj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843" w:type="dxa"/>
            <w:gridSpan w:val="2"/>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总计</w:t>
            </w:r>
          </w:p>
        </w:tc>
        <w:tc>
          <w:tcPr>
            <w:tcW w:w="709" w:type="dxa"/>
            <w:vAlign w:val="center"/>
          </w:tcPr>
          <w:p>
            <w:pPr>
              <w:overflowPunct w:val="0"/>
              <w:autoSpaceDE w:val="0"/>
              <w:autoSpaceDN w:val="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16</w:t>
            </w:r>
          </w:p>
        </w:tc>
        <w:tc>
          <w:tcPr>
            <w:tcW w:w="2268" w:type="dxa"/>
            <w:vAlign w:val="center"/>
          </w:tcPr>
          <w:p>
            <w:pPr>
              <w:overflowPunct w:val="0"/>
              <w:autoSpaceDE w:val="0"/>
              <w:autoSpaceDN w:val="0"/>
              <w:jc w:val="center"/>
              <w:rPr>
                <w:rFonts w:hint="default" w:ascii="Times New Roman" w:hAnsi="Times New Roman" w:cs="Times New Roman" w:eastAsiaTheme="majorEastAsia"/>
                <w:szCs w:val="21"/>
              </w:rPr>
            </w:pPr>
          </w:p>
        </w:tc>
        <w:tc>
          <w:tcPr>
            <w:tcW w:w="850" w:type="dxa"/>
            <w:vAlign w:val="center"/>
          </w:tcPr>
          <w:p>
            <w:pPr>
              <w:overflowPunct w:val="0"/>
              <w:autoSpaceDE w:val="0"/>
              <w:autoSpaceDN w:val="0"/>
              <w:jc w:val="center"/>
              <w:rPr>
                <w:rFonts w:hint="default" w:ascii="Times New Roman" w:hAnsi="Times New Roman" w:cs="Times New Roman" w:eastAsiaTheme="majorEastAsia"/>
                <w:szCs w:val="21"/>
              </w:rPr>
            </w:pPr>
          </w:p>
        </w:tc>
        <w:tc>
          <w:tcPr>
            <w:tcW w:w="1843" w:type="dxa"/>
            <w:vAlign w:val="center"/>
          </w:tcPr>
          <w:p>
            <w:pPr>
              <w:overflowPunct w:val="0"/>
              <w:autoSpaceDE w:val="0"/>
              <w:autoSpaceDN w:val="0"/>
              <w:jc w:val="center"/>
              <w:rPr>
                <w:rFonts w:hint="default" w:ascii="Times New Roman" w:hAnsi="Times New Roman" w:cs="Times New Roman" w:eastAsiaTheme="majorEastAsia"/>
                <w:szCs w:val="21"/>
              </w:rPr>
            </w:pPr>
          </w:p>
        </w:tc>
        <w:tc>
          <w:tcPr>
            <w:tcW w:w="1275" w:type="dxa"/>
            <w:vAlign w:val="center"/>
          </w:tcPr>
          <w:p>
            <w:pPr>
              <w:overflowPunct w:val="0"/>
              <w:autoSpaceDE w:val="0"/>
              <w:autoSpaceDN w:val="0"/>
              <w:jc w:val="center"/>
              <w:rPr>
                <w:rFonts w:hint="default" w:ascii="Times New Roman" w:hAnsi="Times New Roman" w:cs="Times New Roman" w:eastAsiaTheme="majorEastAsia"/>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dit="readOnly" w:enforcement="1" w:cryptProviderType="rsaFull" w:cryptAlgorithmClass="hash" w:cryptAlgorithmType="typeAny" w:cryptAlgorithmSid="4" w:cryptSpinCount="0" w:hash="p3HnLmdtG2kZgYJkMbpvTpTVRZ0=" w:salt="gTfph8jtvFdA34RX2mBb3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86C06"/>
    <w:rsid w:val="17686C06"/>
    <w:rsid w:val="47DC03A5"/>
    <w:rsid w:val="4FBD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2020-01-02T07:13:00Z</dcterms:created>
  <dc:creator>肖苏华</dc:creator>
  <cp:lastModifiedBy>肖苏华</cp:lastModifiedBy>
  <dcterms:modified xsi:type="dcterms:W3CDTF">2020-01-03T01:23:01Z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